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777" w:rsidRDefault="00FC2777" w:rsidP="00FC2777">
      <w:pPr>
        <w:pStyle w:val="Default"/>
      </w:pPr>
    </w:p>
    <w:p w:rsidR="00FC2777" w:rsidRDefault="00FC2777" w:rsidP="00FC2777">
      <w:pPr>
        <w:pStyle w:val="Default"/>
        <w:rPr>
          <w:sz w:val="20"/>
          <w:szCs w:val="20"/>
        </w:rPr>
      </w:pPr>
    </w:p>
    <w:p w:rsidR="00FC2777" w:rsidRDefault="00FC2777" w:rsidP="00FC2777">
      <w:pPr>
        <w:pStyle w:val="Default"/>
        <w:rPr>
          <w:color w:val="auto"/>
        </w:rPr>
      </w:pPr>
    </w:p>
    <w:p w:rsidR="00FC2777" w:rsidRDefault="00FC2777" w:rsidP="00FC2777">
      <w:pPr>
        <w:pStyle w:val="Default"/>
        <w:jc w:val="center"/>
        <w:rPr>
          <w:color w:val="auto"/>
          <w:sz w:val="56"/>
          <w:szCs w:val="56"/>
        </w:rPr>
      </w:pPr>
      <w:r>
        <w:rPr>
          <w:b/>
          <w:bCs/>
          <w:color w:val="auto"/>
          <w:sz w:val="56"/>
          <w:szCs w:val="56"/>
        </w:rPr>
        <w:t>TRIBUNALE DI MANTOVA</w:t>
      </w:r>
    </w:p>
    <w:p w:rsidR="00FC2777" w:rsidRPr="000B1EC6" w:rsidRDefault="00A95AD6" w:rsidP="00A95AD6">
      <w:pPr>
        <w:pStyle w:val="Default"/>
        <w:tabs>
          <w:tab w:val="left" w:pos="930"/>
          <w:tab w:val="center" w:pos="5236"/>
        </w:tabs>
        <w:ind w:left="426"/>
        <w:rPr>
          <w:color w:val="auto"/>
          <w:sz w:val="32"/>
          <w:szCs w:val="32"/>
        </w:rPr>
      </w:pPr>
      <w:r>
        <w:rPr>
          <w:b/>
          <w:bCs/>
          <w:color w:val="auto"/>
          <w:sz w:val="32"/>
          <w:szCs w:val="32"/>
        </w:rPr>
        <w:tab/>
      </w:r>
      <w:r>
        <w:rPr>
          <w:b/>
          <w:bCs/>
          <w:color w:val="auto"/>
          <w:sz w:val="32"/>
          <w:szCs w:val="32"/>
        </w:rPr>
        <w:tab/>
      </w:r>
      <w:r w:rsidR="00FC2777" w:rsidRPr="000B1EC6">
        <w:rPr>
          <w:b/>
          <w:bCs/>
          <w:color w:val="auto"/>
          <w:sz w:val="32"/>
          <w:szCs w:val="32"/>
        </w:rPr>
        <w:t>Seconda Sezione civile</w:t>
      </w:r>
    </w:p>
    <w:p w:rsidR="00FC2777" w:rsidRPr="000B1EC6" w:rsidRDefault="00BB3030" w:rsidP="00BB3030">
      <w:pPr>
        <w:pStyle w:val="Default"/>
        <w:jc w:val="center"/>
        <w:rPr>
          <w:b/>
          <w:bCs/>
          <w:color w:val="auto"/>
          <w:sz w:val="32"/>
          <w:szCs w:val="32"/>
        </w:rPr>
      </w:pPr>
      <w:r>
        <w:rPr>
          <w:b/>
          <w:bCs/>
          <w:color w:val="auto"/>
          <w:sz w:val="32"/>
          <w:szCs w:val="32"/>
        </w:rPr>
        <w:t>*****</w:t>
      </w:r>
    </w:p>
    <w:p w:rsidR="00FC2777" w:rsidRDefault="00FC2777" w:rsidP="00FC2777">
      <w:pPr>
        <w:pStyle w:val="Default"/>
        <w:rPr>
          <w:b/>
          <w:bCs/>
          <w:color w:val="auto"/>
          <w:sz w:val="32"/>
          <w:szCs w:val="32"/>
        </w:rPr>
      </w:pPr>
    </w:p>
    <w:p w:rsidR="00BB3030" w:rsidRDefault="00FC2777" w:rsidP="00FC2777">
      <w:pPr>
        <w:pStyle w:val="Default"/>
        <w:jc w:val="center"/>
        <w:rPr>
          <w:b/>
          <w:bCs/>
          <w:color w:val="auto"/>
          <w:sz w:val="32"/>
          <w:szCs w:val="32"/>
        </w:rPr>
      </w:pPr>
      <w:r>
        <w:rPr>
          <w:b/>
          <w:bCs/>
          <w:color w:val="auto"/>
          <w:sz w:val="32"/>
          <w:szCs w:val="32"/>
        </w:rPr>
        <w:t>IL GIUDICE COORDINATORE</w:t>
      </w:r>
      <w:r w:rsidR="00BB3030">
        <w:rPr>
          <w:b/>
          <w:bCs/>
          <w:color w:val="auto"/>
          <w:sz w:val="32"/>
          <w:szCs w:val="32"/>
        </w:rPr>
        <w:t xml:space="preserve"> </w:t>
      </w:r>
    </w:p>
    <w:p w:rsidR="00FC2777" w:rsidRDefault="00BB3030" w:rsidP="00FC2777">
      <w:pPr>
        <w:pStyle w:val="Default"/>
        <w:jc w:val="center"/>
        <w:rPr>
          <w:b/>
          <w:bCs/>
          <w:color w:val="auto"/>
          <w:sz w:val="32"/>
          <w:szCs w:val="32"/>
        </w:rPr>
      </w:pPr>
      <w:r>
        <w:rPr>
          <w:b/>
          <w:bCs/>
          <w:color w:val="auto"/>
          <w:sz w:val="32"/>
          <w:szCs w:val="32"/>
        </w:rPr>
        <w:t xml:space="preserve">DELLA SECONDA SEZIONE CIVILE </w:t>
      </w:r>
    </w:p>
    <w:p w:rsidR="00FC2777" w:rsidRDefault="00FC2777" w:rsidP="00FC2777">
      <w:pPr>
        <w:pStyle w:val="Default"/>
        <w:rPr>
          <w:color w:val="auto"/>
          <w:sz w:val="32"/>
          <w:szCs w:val="32"/>
        </w:rPr>
      </w:pPr>
      <w:r>
        <w:rPr>
          <w:b/>
          <w:bCs/>
          <w:color w:val="auto"/>
          <w:sz w:val="32"/>
          <w:szCs w:val="32"/>
        </w:rPr>
        <w:t xml:space="preserve"> </w:t>
      </w:r>
    </w:p>
    <w:p w:rsidR="00A95AD6" w:rsidRDefault="00FC2777" w:rsidP="00A95AD6">
      <w:pPr>
        <w:pStyle w:val="Default"/>
        <w:ind w:left="567"/>
        <w:jc w:val="center"/>
        <w:rPr>
          <w:color w:val="auto"/>
          <w:sz w:val="28"/>
          <w:szCs w:val="28"/>
        </w:rPr>
      </w:pPr>
      <w:r>
        <w:rPr>
          <w:color w:val="auto"/>
          <w:sz w:val="28"/>
          <w:szCs w:val="28"/>
        </w:rPr>
        <w:t>COMUNICA</w:t>
      </w:r>
    </w:p>
    <w:p w:rsidR="00A95AD6" w:rsidRDefault="00A95AD6" w:rsidP="00A95AD6">
      <w:pPr>
        <w:pStyle w:val="Default"/>
        <w:ind w:left="567"/>
        <w:jc w:val="center"/>
        <w:rPr>
          <w:color w:val="auto"/>
          <w:sz w:val="28"/>
          <w:szCs w:val="28"/>
        </w:rPr>
      </w:pPr>
    </w:p>
    <w:p w:rsidR="00FC2777" w:rsidRPr="001D6D31" w:rsidRDefault="00FC2777" w:rsidP="00A95AD6">
      <w:pPr>
        <w:pStyle w:val="Default"/>
        <w:ind w:left="567"/>
        <w:jc w:val="both"/>
        <w:rPr>
          <w:color w:val="auto"/>
          <w:sz w:val="28"/>
          <w:szCs w:val="28"/>
          <w:u w:val="single"/>
        </w:rPr>
      </w:pPr>
      <w:r>
        <w:rPr>
          <w:color w:val="auto"/>
          <w:sz w:val="28"/>
          <w:szCs w:val="28"/>
        </w:rPr>
        <w:t xml:space="preserve">A TUTTI I PROFESSIONISTI CHE DEVONO PROVVEDERE </w:t>
      </w:r>
      <w:r w:rsidRPr="001D6D31">
        <w:rPr>
          <w:color w:val="auto"/>
          <w:sz w:val="28"/>
          <w:szCs w:val="28"/>
          <w:u w:val="single"/>
        </w:rPr>
        <w:t xml:space="preserve">A VENDITE </w:t>
      </w:r>
      <w:r w:rsidR="00877E88" w:rsidRPr="001D6D31">
        <w:rPr>
          <w:color w:val="auto"/>
          <w:sz w:val="28"/>
          <w:szCs w:val="28"/>
          <w:u w:val="single"/>
        </w:rPr>
        <w:t xml:space="preserve">DI MOBILI E </w:t>
      </w:r>
      <w:r w:rsidRPr="001D6D31">
        <w:rPr>
          <w:color w:val="auto"/>
          <w:sz w:val="28"/>
          <w:szCs w:val="28"/>
          <w:u w:val="single"/>
        </w:rPr>
        <w:t>IMMOBILI  NELL’AMBITO DELLE PROCEDURE ESECUTIVE</w:t>
      </w:r>
      <w:r w:rsidR="007D4642" w:rsidRPr="001D6D31">
        <w:rPr>
          <w:color w:val="auto"/>
          <w:sz w:val="28"/>
          <w:szCs w:val="28"/>
          <w:u w:val="single"/>
        </w:rPr>
        <w:t>,</w:t>
      </w:r>
      <w:r w:rsidR="00A95AD6">
        <w:rPr>
          <w:color w:val="auto"/>
          <w:sz w:val="28"/>
          <w:szCs w:val="28"/>
          <w:u w:val="single"/>
        </w:rPr>
        <w:t xml:space="preserve"> DELLE PROCEDURE CONCORSUALI</w:t>
      </w:r>
      <w:r w:rsidRPr="001D6D31">
        <w:rPr>
          <w:color w:val="auto"/>
          <w:sz w:val="28"/>
          <w:szCs w:val="28"/>
          <w:u w:val="single"/>
        </w:rPr>
        <w:t xml:space="preserve">, </w:t>
      </w:r>
      <w:r w:rsidR="00A95AD6">
        <w:rPr>
          <w:color w:val="auto"/>
          <w:sz w:val="28"/>
          <w:szCs w:val="28"/>
          <w:u w:val="single"/>
        </w:rPr>
        <w:t>D</w:t>
      </w:r>
      <w:r w:rsidRPr="001D6D31">
        <w:rPr>
          <w:color w:val="auto"/>
          <w:sz w:val="28"/>
          <w:szCs w:val="28"/>
          <w:u w:val="single"/>
        </w:rPr>
        <w:t xml:space="preserve">ELLE PROCEDURE DI </w:t>
      </w:r>
      <w:r w:rsidR="007D4642" w:rsidRPr="001D6D31">
        <w:rPr>
          <w:color w:val="auto"/>
          <w:sz w:val="28"/>
          <w:szCs w:val="28"/>
          <w:u w:val="single"/>
        </w:rPr>
        <w:t>S</w:t>
      </w:r>
      <w:r w:rsidRPr="001D6D31">
        <w:rPr>
          <w:color w:val="auto"/>
          <w:sz w:val="28"/>
          <w:szCs w:val="28"/>
          <w:u w:val="single"/>
        </w:rPr>
        <w:t xml:space="preserve">OVRAINDEBITAMENTO, </w:t>
      </w:r>
      <w:r w:rsidR="00A95AD6">
        <w:rPr>
          <w:color w:val="auto"/>
          <w:sz w:val="28"/>
          <w:szCs w:val="28"/>
          <w:u w:val="single"/>
        </w:rPr>
        <w:t>D</w:t>
      </w:r>
      <w:r w:rsidRPr="001D6D31">
        <w:rPr>
          <w:color w:val="auto"/>
          <w:sz w:val="28"/>
          <w:szCs w:val="28"/>
          <w:u w:val="single"/>
        </w:rPr>
        <w:t xml:space="preserve">ELLE DIVISIONI GIUDIZIALI, </w:t>
      </w:r>
      <w:r w:rsidR="00A95AD6">
        <w:rPr>
          <w:color w:val="auto"/>
          <w:sz w:val="28"/>
          <w:szCs w:val="28"/>
          <w:u w:val="single"/>
        </w:rPr>
        <w:t>QUANTO SEGUE.</w:t>
      </w:r>
    </w:p>
    <w:p w:rsidR="00FC2777" w:rsidRDefault="00FC2777" w:rsidP="001D6D31">
      <w:pPr>
        <w:pStyle w:val="Default"/>
        <w:jc w:val="both"/>
        <w:rPr>
          <w:color w:val="auto"/>
          <w:sz w:val="28"/>
          <w:szCs w:val="28"/>
        </w:rPr>
      </w:pPr>
      <w:r>
        <w:rPr>
          <w:color w:val="auto"/>
          <w:sz w:val="28"/>
          <w:szCs w:val="28"/>
        </w:rPr>
        <w:t xml:space="preserve"> </w:t>
      </w:r>
    </w:p>
    <w:p w:rsidR="00FC2777" w:rsidRDefault="00FC2777" w:rsidP="00402090">
      <w:pPr>
        <w:pStyle w:val="Default"/>
        <w:numPr>
          <w:ilvl w:val="0"/>
          <w:numId w:val="1"/>
        </w:numPr>
        <w:jc w:val="both"/>
        <w:rPr>
          <w:color w:val="auto"/>
          <w:sz w:val="28"/>
          <w:szCs w:val="28"/>
        </w:rPr>
      </w:pPr>
      <w:r>
        <w:rPr>
          <w:color w:val="auto"/>
          <w:sz w:val="28"/>
          <w:szCs w:val="28"/>
        </w:rPr>
        <w:t>A partire dal 20 febbraio 2018, diventa obbligatoria la pubblicità</w:t>
      </w:r>
      <w:r w:rsidR="007D4642">
        <w:rPr>
          <w:color w:val="auto"/>
          <w:sz w:val="28"/>
          <w:szCs w:val="28"/>
        </w:rPr>
        <w:t xml:space="preserve"> delle vendite immobiliari sul P</w:t>
      </w:r>
      <w:r>
        <w:rPr>
          <w:color w:val="auto"/>
          <w:sz w:val="28"/>
          <w:szCs w:val="28"/>
        </w:rPr>
        <w:t>ortale delle vendite pubbliche, prevista dal testo</w:t>
      </w:r>
      <w:r w:rsidR="007D4642">
        <w:rPr>
          <w:color w:val="auto"/>
          <w:sz w:val="28"/>
          <w:szCs w:val="28"/>
        </w:rPr>
        <w:t xml:space="preserve"> vigente </w:t>
      </w:r>
      <w:r>
        <w:rPr>
          <w:color w:val="auto"/>
          <w:sz w:val="28"/>
          <w:szCs w:val="28"/>
        </w:rPr>
        <w:t xml:space="preserve"> dell’art. 490 co.1° c</w:t>
      </w:r>
      <w:r w:rsidR="007D4642">
        <w:rPr>
          <w:color w:val="auto"/>
          <w:sz w:val="28"/>
          <w:szCs w:val="28"/>
        </w:rPr>
        <w:t>.p.c</w:t>
      </w:r>
      <w:r>
        <w:rPr>
          <w:color w:val="auto"/>
          <w:sz w:val="28"/>
          <w:szCs w:val="28"/>
        </w:rPr>
        <w:t xml:space="preserve">. </w:t>
      </w:r>
    </w:p>
    <w:p w:rsidR="00FC2777" w:rsidRDefault="00FC2777" w:rsidP="00402090">
      <w:pPr>
        <w:pStyle w:val="Default"/>
        <w:numPr>
          <w:ilvl w:val="0"/>
          <w:numId w:val="1"/>
        </w:numPr>
        <w:jc w:val="both"/>
        <w:rPr>
          <w:color w:val="auto"/>
          <w:sz w:val="28"/>
          <w:szCs w:val="28"/>
        </w:rPr>
      </w:pPr>
      <w:r>
        <w:rPr>
          <w:color w:val="auto"/>
          <w:sz w:val="28"/>
          <w:szCs w:val="28"/>
        </w:rPr>
        <w:t xml:space="preserve">Ogni altra forma di pubblicità </w:t>
      </w:r>
      <w:r w:rsidR="002A7599">
        <w:rPr>
          <w:color w:val="auto"/>
          <w:sz w:val="28"/>
          <w:szCs w:val="28"/>
        </w:rPr>
        <w:t xml:space="preserve">disposta </w:t>
      </w:r>
      <w:r>
        <w:rPr>
          <w:color w:val="auto"/>
          <w:sz w:val="28"/>
          <w:szCs w:val="28"/>
        </w:rPr>
        <w:t xml:space="preserve"> nelle direttive di delega </w:t>
      </w:r>
      <w:r w:rsidR="007D4642">
        <w:rPr>
          <w:color w:val="auto"/>
          <w:sz w:val="28"/>
          <w:szCs w:val="28"/>
        </w:rPr>
        <w:t xml:space="preserve">o </w:t>
      </w:r>
      <w:r w:rsidR="002A7599">
        <w:rPr>
          <w:color w:val="auto"/>
          <w:sz w:val="28"/>
          <w:szCs w:val="28"/>
        </w:rPr>
        <w:t xml:space="preserve">inserita </w:t>
      </w:r>
      <w:r w:rsidR="007D4642">
        <w:rPr>
          <w:color w:val="auto"/>
          <w:sz w:val="28"/>
          <w:szCs w:val="28"/>
        </w:rPr>
        <w:t xml:space="preserve">nel programma di liquidazione </w:t>
      </w:r>
      <w:r w:rsidR="00577D64">
        <w:rPr>
          <w:color w:val="auto"/>
          <w:sz w:val="28"/>
          <w:szCs w:val="28"/>
        </w:rPr>
        <w:t xml:space="preserve">deve essere eseguita secondo quanto già </w:t>
      </w:r>
      <w:r w:rsidR="002A7599">
        <w:rPr>
          <w:color w:val="auto"/>
          <w:sz w:val="28"/>
          <w:szCs w:val="28"/>
        </w:rPr>
        <w:t>previsto</w:t>
      </w:r>
      <w:r w:rsidR="00577D64">
        <w:rPr>
          <w:color w:val="auto"/>
          <w:sz w:val="28"/>
          <w:szCs w:val="28"/>
        </w:rPr>
        <w:t xml:space="preserve">, </w:t>
      </w:r>
      <w:r w:rsidR="00577D64" w:rsidRPr="001D6D31">
        <w:rPr>
          <w:color w:val="auto"/>
          <w:sz w:val="28"/>
          <w:szCs w:val="28"/>
          <w:u w:val="dash"/>
        </w:rPr>
        <w:t xml:space="preserve">ma solo dopo </w:t>
      </w:r>
      <w:r w:rsidR="00577D64">
        <w:rPr>
          <w:color w:val="auto"/>
          <w:sz w:val="28"/>
          <w:szCs w:val="28"/>
        </w:rPr>
        <w:t>l’esecuzione della pubblicità sul Portale delle vendite pubbliche</w:t>
      </w:r>
      <w:r w:rsidR="008C640E">
        <w:rPr>
          <w:color w:val="auto"/>
          <w:sz w:val="28"/>
          <w:szCs w:val="28"/>
        </w:rPr>
        <w:t>, che costituisce un passaggio obbligato</w:t>
      </w:r>
    </w:p>
    <w:p w:rsidR="00CE0B5E" w:rsidRDefault="00CE0B5E" w:rsidP="00CE0B5E">
      <w:pPr>
        <w:pStyle w:val="Default"/>
        <w:numPr>
          <w:ilvl w:val="0"/>
          <w:numId w:val="1"/>
        </w:numPr>
        <w:jc w:val="both"/>
        <w:rPr>
          <w:color w:val="auto"/>
          <w:sz w:val="28"/>
          <w:szCs w:val="28"/>
        </w:rPr>
      </w:pPr>
      <w:r>
        <w:rPr>
          <w:color w:val="auto"/>
          <w:sz w:val="28"/>
          <w:szCs w:val="28"/>
        </w:rPr>
        <w:t xml:space="preserve">Sia il previo pagamento del contributo, che la pubblicazione, sono a cura del professionista delegato o del commissionario per le operazioni di vendita ai sensi dell’art.151 quater disp.att.c.p.c., ma </w:t>
      </w:r>
      <w:r w:rsidR="002A7599">
        <w:rPr>
          <w:color w:val="auto"/>
          <w:sz w:val="28"/>
          <w:szCs w:val="28"/>
        </w:rPr>
        <w:t>operativamente</w:t>
      </w:r>
      <w:r w:rsidR="00877225">
        <w:rPr>
          <w:color w:val="auto"/>
          <w:sz w:val="28"/>
          <w:szCs w:val="28"/>
        </w:rPr>
        <w:t xml:space="preserve">: 1) </w:t>
      </w:r>
      <w:r>
        <w:rPr>
          <w:color w:val="auto"/>
          <w:sz w:val="28"/>
          <w:szCs w:val="28"/>
        </w:rPr>
        <w:t xml:space="preserve"> per le procedure concorsuali potrà procedere alla pubblicazione oltre al curatore o  al liquidatore</w:t>
      </w:r>
      <w:r w:rsidR="005D733A">
        <w:rPr>
          <w:color w:val="auto"/>
          <w:sz w:val="28"/>
          <w:szCs w:val="28"/>
        </w:rPr>
        <w:t xml:space="preserve"> </w:t>
      </w:r>
      <w:r>
        <w:rPr>
          <w:color w:val="auto"/>
          <w:sz w:val="28"/>
          <w:szCs w:val="28"/>
        </w:rPr>
        <w:t>anche il commissionario</w:t>
      </w:r>
      <w:r w:rsidR="00A95AD6">
        <w:rPr>
          <w:color w:val="auto"/>
          <w:sz w:val="28"/>
          <w:szCs w:val="28"/>
        </w:rPr>
        <w:t xml:space="preserve"> </w:t>
      </w:r>
      <w:r>
        <w:rPr>
          <w:color w:val="auto"/>
          <w:sz w:val="28"/>
          <w:szCs w:val="28"/>
        </w:rPr>
        <w:t xml:space="preserve"> ove la nomina sia stata comunicata </w:t>
      </w:r>
      <w:r w:rsidR="00A95AD6">
        <w:rPr>
          <w:color w:val="auto"/>
          <w:sz w:val="28"/>
          <w:szCs w:val="28"/>
        </w:rPr>
        <w:t xml:space="preserve">e quindi inserita </w:t>
      </w:r>
      <w:r>
        <w:rPr>
          <w:color w:val="auto"/>
          <w:sz w:val="28"/>
          <w:szCs w:val="28"/>
        </w:rPr>
        <w:t xml:space="preserve">in SIECIC come ”ausiliario” , </w:t>
      </w:r>
      <w:r w:rsidR="005D733A">
        <w:rPr>
          <w:color w:val="auto"/>
          <w:sz w:val="28"/>
          <w:szCs w:val="28"/>
        </w:rPr>
        <w:t>2)</w:t>
      </w:r>
      <w:r>
        <w:rPr>
          <w:color w:val="auto"/>
          <w:sz w:val="28"/>
          <w:szCs w:val="28"/>
        </w:rPr>
        <w:t xml:space="preserve"> per le procedure esecutive potrà procedere, oltre al delegato alla vendita e al commissionario, anche il custode</w:t>
      </w:r>
      <w:r w:rsidR="00A95AD6">
        <w:rPr>
          <w:color w:val="auto"/>
          <w:sz w:val="28"/>
          <w:szCs w:val="28"/>
        </w:rPr>
        <w:t>, inserito come tale in SIECIC</w:t>
      </w:r>
      <w:r w:rsidR="005D733A">
        <w:rPr>
          <w:color w:val="auto"/>
          <w:sz w:val="28"/>
          <w:szCs w:val="28"/>
        </w:rPr>
        <w:t>, 3) p</w:t>
      </w:r>
      <w:r w:rsidR="00A95AD6">
        <w:rPr>
          <w:color w:val="auto"/>
          <w:sz w:val="28"/>
          <w:szCs w:val="28"/>
        </w:rPr>
        <w:t>er i giudizi di divisione</w:t>
      </w:r>
      <w:r w:rsidR="005D733A">
        <w:rPr>
          <w:color w:val="auto"/>
          <w:sz w:val="28"/>
          <w:szCs w:val="28"/>
        </w:rPr>
        <w:t xml:space="preserve"> potrà procedere alla pubblicazione il delegato che sia stato iscritto </w:t>
      </w:r>
      <w:r w:rsidR="00A95AD6">
        <w:rPr>
          <w:color w:val="auto"/>
          <w:sz w:val="28"/>
          <w:szCs w:val="28"/>
        </w:rPr>
        <w:t xml:space="preserve"> </w:t>
      </w:r>
      <w:r w:rsidR="005D733A">
        <w:rPr>
          <w:color w:val="auto"/>
          <w:sz w:val="28"/>
          <w:szCs w:val="28"/>
        </w:rPr>
        <w:t>in SICID dalla cancelleria come “ausiliario”</w:t>
      </w:r>
    </w:p>
    <w:p w:rsidR="007D4642" w:rsidRDefault="00201711" w:rsidP="00201711">
      <w:pPr>
        <w:pStyle w:val="Default"/>
        <w:numPr>
          <w:ilvl w:val="0"/>
          <w:numId w:val="1"/>
        </w:numPr>
        <w:jc w:val="both"/>
        <w:rPr>
          <w:color w:val="auto"/>
          <w:sz w:val="28"/>
          <w:szCs w:val="28"/>
        </w:rPr>
      </w:pPr>
      <w:r w:rsidRPr="00201711">
        <w:rPr>
          <w:color w:val="auto"/>
          <w:sz w:val="28"/>
          <w:szCs w:val="28"/>
        </w:rPr>
        <w:t xml:space="preserve">Al profilo </w:t>
      </w:r>
      <w:r w:rsidR="00EB6B82">
        <w:rPr>
          <w:color w:val="auto"/>
          <w:sz w:val="28"/>
          <w:szCs w:val="28"/>
        </w:rPr>
        <w:t>“</w:t>
      </w:r>
      <w:r w:rsidRPr="00201711">
        <w:rPr>
          <w:color w:val="auto"/>
          <w:sz w:val="28"/>
          <w:szCs w:val="28"/>
        </w:rPr>
        <w:t>Soggetto legittimato alla pubblicazione</w:t>
      </w:r>
      <w:r w:rsidR="00EB6B82">
        <w:rPr>
          <w:color w:val="auto"/>
          <w:sz w:val="28"/>
          <w:szCs w:val="28"/>
        </w:rPr>
        <w:t>”</w:t>
      </w:r>
      <w:r w:rsidRPr="00201711">
        <w:rPr>
          <w:color w:val="auto"/>
          <w:sz w:val="28"/>
          <w:szCs w:val="28"/>
        </w:rPr>
        <w:t xml:space="preserve"> sono </w:t>
      </w:r>
      <w:r w:rsidR="00EB6B82">
        <w:rPr>
          <w:color w:val="auto"/>
          <w:sz w:val="28"/>
          <w:szCs w:val="28"/>
        </w:rPr>
        <w:t xml:space="preserve">tecnicamente </w:t>
      </w:r>
      <w:r w:rsidRPr="00201711">
        <w:rPr>
          <w:color w:val="auto"/>
          <w:sz w:val="28"/>
          <w:szCs w:val="28"/>
        </w:rPr>
        <w:t xml:space="preserve"> associate le funzionalità di inserimento e pubblicazione dell’avviso di vendita, il servizio di pagamento del contributo di pubblicazione e le funzionalità di gestione dell’esito e degli eventi signi</w:t>
      </w:r>
      <w:r w:rsidR="00BB3030">
        <w:rPr>
          <w:color w:val="auto"/>
          <w:sz w:val="28"/>
          <w:szCs w:val="28"/>
        </w:rPr>
        <w:t>ficativi dell’avviso di vendita</w:t>
      </w:r>
    </w:p>
    <w:p w:rsidR="00EB6B82" w:rsidRDefault="00EB6B82" w:rsidP="00EB6B82">
      <w:pPr>
        <w:pStyle w:val="Default"/>
        <w:numPr>
          <w:ilvl w:val="0"/>
          <w:numId w:val="1"/>
        </w:numPr>
        <w:jc w:val="both"/>
        <w:rPr>
          <w:color w:val="auto"/>
          <w:sz w:val="28"/>
          <w:szCs w:val="28"/>
        </w:rPr>
      </w:pPr>
      <w:r w:rsidRPr="00EB6B82">
        <w:rPr>
          <w:color w:val="auto"/>
          <w:sz w:val="28"/>
          <w:szCs w:val="28"/>
        </w:rPr>
        <w:t xml:space="preserve">La verifica della titolarità del soggetto legittimato alla pubblicazione alla gestione degli avvisi di vendita avviene mediante un servizio di cooperazione con i registri di cancelleria interni al Dominio Giustizia (SIECIC e SICID) e, ove necessario con i registri esterni al Dominio Giustizia (quali, ad esempio, il Registro delle Imprese ed il Registro dei pegni non possessori).  Il soggetto </w:t>
      </w:r>
      <w:r w:rsidRPr="00EB6B82">
        <w:rPr>
          <w:color w:val="auto"/>
          <w:sz w:val="28"/>
          <w:szCs w:val="28"/>
        </w:rPr>
        <w:lastRenderedPageBreak/>
        <w:t>legittimato alla pubblicazione, all’atto dell’inserimento di un avviso di vendita, deve obbligatoriamente digitare i dati identificativi della procedura, per le vendite giudiziarie, oppure i dati identificativi del procedimento, se si tratta di vendita non gestita da un ufficio giudiziario. Solo dopo la verifica autorizzativa effettuata dal sistema Portale il soggetto legittimato alla pubblicazione accede alle pagine web di inserimento dei dati della vendita forzata</w:t>
      </w:r>
    </w:p>
    <w:p w:rsidR="00FC2777" w:rsidRPr="00BB3030" w:rsidRDefault="001D6D31" w:rsidP="00402090">
      <w:pPr>
        <w:pStyle w:val="Default"/>
        <w:numPr>
          <w:ilvl w:val="0"/>
          <w:numId w:val="1"/>
        </w:numPr>
        <w:jc w:val="both"/>
        <w:rPr>
          <w:color w:val="auto"/>
          <w:sz w:val="28"/>
          <w:szCs w:val="28"/>
          <w:u w:val="dash"/>
        </w:rPr>
      </w:pPr>
      <w:r w:rsidRPr="00BB3030">
        <w:rPr>
          <w:color w:val="auto"/>
          <w:sz w:val="28"/>
          <w:szCs w:val="28"/>
          <w:u w:val="dash"/>
        </w:rPr>
        <w:t>L</w:t>
      </w:r>
      <w:r w:rsidR="00FC2777" w:rsidRPr="00BB3030">
        <w:rPr>
          <w:color w:val="auto"/>
          <w:sz w:val="28"/>
          <w:szCs w:val="28"/>
          <w:u w:val="dash"/>
        </w:rPr>
        <w:t xml:space="preserve">a pubblicazione sul portale, previo pagamento del contributo, dovrà effettuarsi per tutti gli avvisi di vendita emessi a partire dal 20 febbraio 2018 (compreso), indipendentemente dall’epoca in cui è stata </w:t>
      </w:r>
      <w:r w:rsidRPr="00BB3030">
        <w:rPr>
          <w:color w:val="auto"/>
          <w:sz w:val="28"/>
          <w:szCs w:val="28"/>
          <w:u w:val="dash"/>
        </w:rPr>
        <w:t xml:space="preserve">autorizzata o </w:t>
      </w:r>
      <w:r w:rsidR="00FC2777" w:rsidRPr="00BB3030">
        <w:rPr>
          <w:color w:val="auto"/>
          <w:sz w:val="28"/>
          <w:szCs w:val="28"/>
          <w:u w:val="dash"/>
        </w:rPr>
        <w:t>delegata l’attività di vendita, ed anche quando t</w:t>
      </w:r>
      <w:r w:rsidR="00BB3030">
        <w:rPr>
          <w:color w:val="auto"/>
          <w:sz w:val="28"/>
          <w:szCs w:val="28"/>
          <w:u w:val="dash"/>
        </w:rPr>
        <w:t>rattasi di tentativi ulteriori</w:t>
      </w:r>
    </w:p>
    <w:p w:rsidR="00CE0B5E" w:rsidRDefault="00CE0B5E" w:rsidP="00CE0B5E">
      <w:pPr>
        <w:pStyle w:val="Default"/>
        <w:numPr>
          <w:ilvl w:val="0"/>
          <w:numId w:val="1"/>
        </w:numPr>
        <w:jc w:val="both"/>
        <w:rPr>
          <w:color w:val="auto"/>
          <w:sz w:val="28"/>
          <w:szCs w:val="28"/>
        </w:rPr>
      </w:pPr>
      <w:r>
        <w:rPr>
          <w:color w:val="auto"/>
          <w:sz w:val="28"/>
          <w:szCs w:val="28"/>
        </w:rPr>
        <w:t>L’effettuazione della pubblicità sul Portale delle vendite pubbliche presuppone il pagamento del contributo alla pubblicazi</w:t>
      </w:r>
      <w:r w:rsidR="00BB3030">
        <w:rPr>
          <w:color w:val="auto"/>
          <w:sz w:val="28"/>
          <w:szCs w:val="28"/>
        </w:rPr>
        <w:t>one, che al momento è pari ad €</w:t>
      </w:r>
      <w:r>
        <w:rPr>
          <w:color w:val="auto"/>
          <w:sz w:val="28"/>
          <w:szCs w:val="28"/>
        </w:rPr>
        <w:t>100</w:t>
      </w:r>
      <w:r w:rsidR="00BB3030">
        <w:rPr>
          <w:color w:val="auto"/>
          <w:sz w:val="28"/>
          <w:szCs w:val="28"/>
        </w:rPr>
        <w:t>,00</w:t>
      </w:r>
      <w:r>
        <w:rPr>
          <w:color w:val="auto"/>
          <w:sz w:val="28"/>
          <w:szCs w:val="28"/>
        </w:rPr>
        <w:t xml:space="preserve"> per ogni lotto posto in vendita, e che va corrisposto per </w:t>
      </w:r>
      <w:r w:rsidR="00BB3030">
        <w:rPr>
          <w:color w:val="auto"/>
          <w:sz w:val="28"/>
          <w:szCs w:val="28"/>
        </w:rPr>
        <w:t>ciascun tentativo di vendita</w:t>
      </w:r>
    </w:p>
    <w:p w:rsidR="00946C71" w:rsidRDefault="00BB3030" w:rsidP="00402090">
      <w:pPr>
        <w:pStyle w:val="Default"/>
        <w:numPr>
          <w:ilvl w:val="0"/>
          <w:numId w:val="1"/>
        </w:numPr>
        <w:jc w:val="both"/>
        <w:rPr>
          <w:color w:val="auto"/>
          <w:sz w:val="28"/>
          <w:szCs w:val="28"/>
        </w:rPr>
      </w:pPr>
      <w:r>
        <w:rPr>
          <w:color w:val="auto"/>
          <w:sz w:val="28"/>
          <w:szCs w:val="28"/>
        </w:rPr>
        <w:t>In caso di pluralità di lotti o di pluralità di esperimenti di vendita, o</w:t>
      </w:r>
      <w:r w:rsidR="001D6D31">
        <w:rPr>
          <w:color w:val="auto"/>
          <w:sz w:val="28"/>
          <w:szCs w:val="28"/>
        </w:rPr>
        <w:t>ve necessario</w:t>
      </w:r>
      <w:r w:rsidR="00402090">
        <w:rPr>
          <w:color w:val="auto"/>
          <w:sz w:val="28"/>
          <w:szCs w:val="28"/>
        </w:rPr>
        <w:t>,</w:t>
      </w:r>
      <w:r w:rsidR="001D6D31">
        <w:rPr>
          <w:color w:val="auto"/>
          <w:sz w:val="28"/>
          <w:szCs w:val="28"/>
        </w:rPr>
        <w:t xml:space="preserve"> i delegati alla vendita</w:t>
      </w:r>
      <w:r w:rsidR="00402090">
        <w:rPr>
          <w:color w:val="auto"/>
          <w:sz w:val="28"/>
          <w:szCs w:val="28"/>
        </w:rPr>
        <w:t xml:space="preserve"> nelle procedure esecutive </w:t>
      </w:r>
      <w:r w:rsidR="001D6D31">
        <w:rPr>
          <w:color w:val="auto"/>
          <w:sz w:val="28"/>
          <w:szCs w:val="28"/>
        </w:rPr>
        <w:t xml:space="preserve"> potranno chiedere </w:t>
      </w:r>
      <w:r w:rsidR="00402090">
        <w:rPr>
          <w:color w:val="auto"/>
          <w:sz w:val="28"/>
          <w:szCs w:val="28"/>
        </w:rPr>
        <w:t>al giudice dell’Esecuzione un incremento del fondo spese</w:t>
      </w:r>
    </w:p>
    <w:p w:rsidR="005B3169" w:rsidRDefault="005B3169" w:rsidP="005B3169">
      <w:pPr>
        <w:pStyle w:val="Default"/>
        <w:numPr>
          <w:ilvl w:val="0"/>
          <w:numId w:val="1"/>
        </w:numPr>
        <w:jc w:val="both"/>
        <w:rPr>
          <w:color w:val="auto"/>
          <w:sz w:val="28"/>
          <w:szCs w:val="28"/>
        </w:rPr>
      </w:pPr>
      <w:r>
        <w:rPr>
          <w:color w:val="auto"/>
          <w:sz w:val="28"/>
          <w:szCs w:val="28"/>
        </w:rPr>
        <w:t>Si ricorda che ai sensi dell’art.631 bis c.p.c. s</w:t>
      </w:r>
      <w:r w:rsidRPr="005B3169">
        <w:rPr>
          <w:color w:val="auto"/>
          <w:sz w:val="28"/>
          <w:szCs w:val="28"/>
        </w:rPr>
        <w:t>e la pubblicazione sul portale delle vendite pubbliche non è effettuata nel termine stabilito dal giudice per causa imputabile al creditore pignorante o al creditore intervenuto munito di titolo esecutivo, il giudice dichiara con ordinanza l’estinzione del processo esecutivo e si applicano le disposizioni di cui all’arti</w:t>
      </w:r>
      <w:r>
        <w:rPr>
          <w:color w:val="auto"/>
          <w:sz w:val="28"/>
          <w:szCs w:val="28"/>
        </w:rPr>
        <w:t>colo 630, secondo e terzo comma</w:t>
      </w:r>
    </w:p>
    <w:p w:rsidR="00FC2777" w:rsidRDefault="00423F9F" w:rsidP="001607C4">
      <w:pPr>
        <w:pStyle w:val="Default"/>
        <w:numPr>
          <w:ilvl w:val="0"/>
          <w:numId w:val="1"/>
        </w:numPr>
        <w:jc w:val="both"/>
        <w:rPr>
          <w:color w:val="auto"/>
          <w:sz w:val="28"/>
          <w:szCs w:val="28"/>
        </w:rPr>
      </w:pPr>
      <w:r>
        <w:rPr>
          <w:color w:val="auto"/>
          <w:sz w:val="28"/>
          <w:szCs w:val="28"/>
        </w:rPr>
        <w:t>Per t</w:t>
      </w:r>
      <w:r w:rsidR="00946C71">
        <w:rPr>
          <w:color w:val="auto"/>
          <w:sz w:val="28"/>
          <w:szCs w:val="28"/>
        </w:rPr>
        <w:t xml:space="preserve">utte le informazioni indispensabili per la </w:t>
      </w:r>
      <w:r w:rsidR="00FC2777">
        <w:rPr>
          <w:color w:val="auto"/>
          <w:sz w:val="28"/>
          <w:szCs w:val="28"/>
        </w:rPr>
        <w:t xml:space="preserve"> </w:t>
      </w:r>
      <w:r>
        <w:rPr>
          <w:color w:val="auto"/>
          <w:sz w:val="28"/>
          <w:szCs w:val="28"/>
        </w:rPr>
        <w:t>pubblicazione occorre far</w:t>
      </w:r>
      <w:bookmarkStart w:id="0" w:name="_GoBack"/>
      <w:bookmarkEnd w:id="0"/>
      <w:r>
        <w:rPr>
          <w:color w:val="auto"/>
          <w:sz w:val="28"/>
          <w:szCs w:val="28"/>
        </w:rPr>
        <w:t xml:space="preserve"> riferimento alle</w:t>
      </w:r>
      <w:r w:rsidR="001607C4">
        <w:rPr>
          <w:color w:val="auto"/>
          <w:sz w:val="28"/>
          <w:szCs w:val="28"/>
        </w:rPr>
        <w:t xml:space="preserve"> </w:t>
      </w:r>
      <w:r w:rsidR="001607C4" w:rsidRPr="001607C4">
        <w:rPr>
          <w:color w:val="auto"/>
          <w:sz w:val="28"/>
          <w:szCs w:val="28"/>
        </w:rPr>
        <w:t xml:space="preserve">SPECIFICHE TECNICHE RELATIVE ALLE MODALITÀ DI PUBBLICAZIONE SUL </w:t>
      </w:r>
      <w:r w:rsidR="001607C4">
        <w:rPr>
          <w:color w:val="auto"/>
          <w:sz w:val="28"/>
          <w:szCs w:val="28"/>
        </w:rPr>
        <w:t xml:space="preserve">PORTALE DELLE VENDITE PUBBLICHE, reperibili </w:t>
      </w:r>
      <w:r w:rsidR="00946C71">
        <w:rPr>
          <w:color w:val="auto"/>
          <w:sz w:val="28"/>
          <w:szCs w:val="28"/>
        </w:rPr>
        <w:t xml:space="preserve">sul sito </w:t>
      </w:r>
      <w:r w:rsidR="00BB3030">
        <w:rPr>
          <w:color w:val="auto"/>
          <w:sz w:val="28"/>
          <w:szCs w:val="28"/>
        </w:rPr>
        <w:t>del Portale Vendite P</w:t>
      </w:r>
      <w:r w:rsidR="00946C71">
        <w:rPr>
          <w:color w:val="auto"/>
          <w:sz w:val="28"/>
          <w:szCs w:val="28"/>
        </w:rPr>
        <w:t xml:space="preserve">ubbliche </w:t>
      </w:r>
      <w:r w:rsidR="001607C4">
        <w:rPr>
          <w:color w:val="auto"/>
          <w:sz w:val="28"/>
          <w:szCs w:val="28"/>
        </w:rPr>
        <w:t xml:space="preserve"> al seguente indirizzo </w:t>
      </w:r>
      <w:hyperlink r:id="rId7" w:history="1">
        <w:r w:rsidR="00946C71" w:rsidRPr="001607C4">
          <w:rPr>
            <w:rStyle w:val="Collegamentoipertestuale"/>
            <w:sz w:val="28"/>
            <w:szCs w:val="28"/>
          </w:rPr>
          <w:t>https://pvp.giustizia.it/pvp-resources/cms/documents/e6318595d9028559b99b2965c299a7de.pdf</w:t>
        </w:r>
      </w:hyperlink>
    </w:p>
    <w:p w:rsidR="00402090" w:rsidRDefault="00402090" w:rsidP="00402090">
      <w:pPr>
        <w:pStyle w:val="Default"/>
        <w:ind w:left="720"/>
        <w:jc w:val="both"/>
        <w:rPr>
          <w:color w:val="auto"/>
          <w:sz w:val="28"/>
          <w:szCs w:val="28"/>
        </w:rPr>
      </w:pPr>
    </w:p>
    <w:p w:rsidR="005D733A" w:rsidRDefault="00402090" w:rsidP="005D733A">
      <w:pPr>
        <w:pStyle w:val="Default"/>
        <w:jc w:val="both"/>
        <w:rPr>
          <w:color w:val="auto"/>
          <w:sz w:val="28"/>
          <w:szCs w:val="28"/>
        </w:rPr>
      </w:pPr>
      <w:r>
        <w:rPr>
          <w:color w:val="auto"/>
          <w:sz w:val="28"/>
          <w:szCs w:val="28"/>
        </w:rPr>
        <w:t>Manda alle  cancellerie</w:t>
      </w:r>
      <w:r w:rsidR="001D6D31">
        <w:rPr>
          <w:color w:val="auto"/>
          <w:sz w:val="28"/>
          <w:szCs w:val="28"/>
        </w:rPr>
        <w:t xml:space="preserve"> per</w:t>
      </w:r>
      <w:r w:rsidR="005D733A">
        <w:rPr>
          <w:color w:val="auto"/>
          <w:sz w:val="28"/>
          <w:szCs w:val="28"/>
        </w:rPr>
        <w:t xml:space="preserve">ché procedano all’inserimento corretto dei professionisti di volta in volta incaricati secondo le indicazioni fornite nonché per </w:t>
      </w:r>
      <w:r w:rsidR="001D6D31">
        <w:rPr>
          <w:color w:val="auto"/>
          <w:sz w:val="28"/>
          <w:szCs w:val="28"/>
        </w:rPr>
        <w:t xml:space="preserve"> la comunicazione ai professionist</w:t>
      </w:r>
      <w:r>
        <w:rPr>
          <w:color w:val="auto"/>
          <w:sz w:val="28"/>
          <w:szCs w:val="28"/>
        </w:rPr>
        <w:t>i delle varie procedure e agli O</w:t>
      </w:r>
      <w:r w:rsidR="001D6D31">
        <w:rPr>
          <w:color w:val="auto"/>
          <w:sz w:val="28"/>
          <w:szCs w:val="28"/>
        </w:rPr>
        <w:t xml:space="preserve">rdini professionali di avvocati, </w:t>
      </w:r>
      <w:r w:rsidR="005D733A">
        <w:rPr>
          <w:color w:val="auto"/>
          <w:sz w:val="28"/>
          <w:szCs w:val="28"/>
        </w:rPr>
        <w:t>dottori commercialisti e notai.</w:t>
      </w:r>
    </w:p>
    <w:p w:rsidR="001D6D31" w:rsidRDefault="001D6D31" w:rsidP="005D733A">
      <w:pPr>
        <w:pStyle w:val="Default"/>
        <w:ind w:left="6372"/>
        <w:jc w:val="both"/>
        <w:rPr>
          <w:color w:val="auto"/>
          <w:sz w:val="28"/>
          <w:szCs w:val="28"/>
        </w:rPr>
      </w:pPr>
      <w:r>
        <w:rPr>
          <w:color w:val="auto"/>
          <w:sz w:val="28"/>
          <w:szCs w:val="28"/>
        </w:rPr>
        <w:t>Il giudice coordinatore</w:t>
      </w:r>
    </w:p>
    <w:p w:rsidR="001D6D31" w:rsidRDefault="00BB3030" w:rsidP="00BB3030">
      <w:pPr>
        <w:pStyle w:val="Default"/>
        <w:jc w:val="center"/>
        <w:rPr>
          <w:color w:val="auto"/>
          <w:sz w:val="28"/>
          <w:szCs w:val="28"/>
        </w:rPr>
      </w:pPr>
      <w:r>
        <w:rPr>
          <w:color w:val="auto"/>
          <w:sz w:val="28"/>
          <w:szCs w:val="28"/>
        </w:rPr>
        <w:t xml:space="preserve">                                                                                  </w:t>
      </w:r>
      <w:r w:rsidR="001D6D31">
        <w:rPr>
          <w:color w:val="auto"/>
          <w:sz w:val="28"/>
          <w:szCs w:val="28"/>
        </w:rPr>
        <w:t>Dott.Laura De Simone</w:t>
      </w:r>
    </w:p>
    <w:sectPr w:rsidR="001D6D31" w:rsidSect="00A95AD6">
      <w:footerReference w:type="default" r:id="rId8"/>
      <w:pgSz w:w="11906" w:h="17340"/>
      <w:pgMar w:top="1159" w:right="1558" w:bottom="664" w:left="78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376" w:rsidRDefault="00012376" w:rsidP="00A95AD6">
      <w:pPr>
        <w:spacing w:after="0" w:line="240" w:lineRule="auto"/>
      </w:pPr>
      <w:r>
        <w:separator/>
      </w:r>
    </w:p>
  </w:endnote>
  <w:endnote w:type="continuationSeparator" w:id="0">
    <w:p w:rsidR="00012376" w:rsidRDefault="00012376" w:rsidP="00A9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AD6" w:rsidRDefault="00A95AD6">
    <w:pPr>
      <w:pStyle w:val="Pidipagina"/>
      <w:jc w:val="right"/>
    </w:pPr>
    <w:r>
      <w:rPr>
        <w:color w:val="4F81BD" w:themeColor="accent1"/>
        <w:sz w:val="20"/>
        <w:szCs w:val="20"/>
      </w:rPr>
      <w:t xml:space="preserve">pag.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sidR="00423F9F">
      <w:rPr>
        <w:noProof/>
        <w:color w:val="4F81BD" w:themeColor="accent1"/>
        <w:sz w:val="20"/>
        <w:szCs w:val="20"/>
      </w:rPr>
      <w:t>2</w:t>
    </w:r>
    <w:r>
      <w:rPr>
        <w:color w:val="4F81BD" w:themeColor="accent1"/>
        <w:sz w:val="20"/>
        <w:szCs w:val="20"/>
      </w:rPr>
      <w:fldChar w:fldCharType="end"/>
    </w:r>
  </w:p>
  <w:p w:rsidR="00A95AD6" w:rsidRDefault="00BB3030">
    <w:pPr>
      <w:pStyle w:val="Pidipagina"/>
    </w:pPr>
    <w:r>
      <w:t xml:space="preserve">Comunicazione </w:t>
    </w:r>
    <w:r w:rsidR="00A95AD6">
      <w:t>pubblicità PVP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376" w:rsidRDefault="00012376" w:rsidP="00A95AD6">
      <w:pPr>
        <w:spacing w:after="0" w:line="240" w:lineRule="auto"/>
      </w:pPr>
      <w:r>
        <w:separator/>
      </w:r>
    </w:p>
  </w:footnote>
  <w:footnote w:type="continuationSeparator" w:id="0">
    <w:p w:rsidR="00012376" w:rsidRDefault="00012376" w:rsidP="00A95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33243"/>
    <w:multiLevelType w:val="hybridMultilevel"/>
    <w:tmpl w:val="EAAED7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4F36DE3"/>
    <w:multiLevelType w:val="hybridMultilevel"/>
    <w:tmpl w:val="889C62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77"/>
    <w:rsid w:val="00012376"/>
    <w:rsid w:val="000B1EC6"/>
    <w:rsid w:val="001607C4"/>
    <w:rsid w:val="001D6D31"/>
    <w:rsid w:val="00201711"/>
    <w:rsid w:val="00280616"/>
    <w:rsid w:val="00290E87"/>
    <w:rsid w:val="002A7599"/>
    <w:rsid w:val="00402090"/>
    <w:rsid w:val="00423F9F"/>
    <w:rsid w:val="00517DD5"/>
    <w:rsid w:val="00577D64"/>
    <w:rsid w:val="005B3169"/>
    <w:rsid w:val="005D733A"/>
    <w:rsid w:val="007D4642"/>
    <w:rsid w:val="00877225"/>
    <w:rsid w:val="00877E88"/>
    <w:rsid w:val="008841CE"/>
    <w:rsid w:val="008C640E"/>
    <w:rsid w:val="00946C71"/>
    <w:rsid w:val="00A95AD6"/>
    <w:rsid w:val="00BB2C4B"/>
    <w:rsid w:val="00BB3030"/>
    <w:rsid w:val="00CE0B5E"/>
    <w:rsid w:val="00D13BB9"/>
    <w:rsid w:val="00EB6B82"/>
    <w:rsid w:val="00FC27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DB67E8"/>
  <w15:chartTrackingRefBased/>
  <w15:docId w15:val="{2633EE60-6F52-4375-8EE8-3581A34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C2777"/>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1607C4"/>
    <w:rPr>
      <w:color w:val="0000FF" w:themeColor="hyperlink"/>
      <w:u w:val="single"/>
    </w:rPr>
  </w:style>
  <w:style w:type="character" w:styleId="Menzionenonrisolta">
    <w:name w:val="Unresolved Mention"/>
    <w:basedOn w:val="Carpredefinitoparagrafo"/>
    <w:uiPriority w:val="99"/>
    <w:semiHidden/>
    <w:unhideWhenUsed/>
    <w:rsid w:val="001607C4"/>
    <w:rPr>
      <w:color w:val="808080"/>
      <w:shd w:val="clear" w:color="auto" w:fill="E6E6E6"/>
    </w:rPr>
  </w:style>
  <w:style w:type="paragraph" w:styleId="Intestazione">
    <w:name w:val="header"/>
    <w:basedOn w:val="Normale"/>
    <w:link w:val="IntestazioneCarattere"/>
    <w:uiPriority w:val="99"/>
    <w:unhideWhenUsed/>
    <w:rsid w:val="00A95A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5AD6"/>
  </w:style>
  <w:style w:type="paragraph" w:styleId="Pidipagina">
    <w:name w:val="footer"/>
    <w:basedOn w:val="Normale"/>
    <w:link w:val="PidipaginaCarattere"/>
    <w:uiPriority w:val="99"/>
    <w:unhideWhenUsed/>
    <w:rsid w:val="00A95A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5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vp.giustizia.it/pvp-resources/cms/documents/e6318595d9028559b99b2965c299a7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gkWN+RMZvOub9mKF3eomnmdzVm0=</DigestValue>
    </Reference>
    <Reference Type="http://www.w3.org/2000/09/xmldsig#Object" URI="#idOfficeObject">
      <DigestMethod Algorithm="http://www.w3.org/2000/09/xmldsig#sha1"/>
      <DigestValue>CjZ2VYxw7UKcg1U1PJtPNumLgjo=</DigestValue>
    </Reference>
    <Reference Type="http://uri.etsi.org/01903#SignedProperties" URI="#idSignedProperties">
      <Transforms>
        <Transform Algorithm="http://www.w3.org/TR/2001/REC-xml-c14n-20010315"/>
      </Transforms>
      <DigestMethod Algorithm="http://www.w3.org/2000/09/xmldsig#sha1"/>
      <DigestValue>oG2gFzGO5Tl4OPPIng77sQmN3l0=</DigestValue>
    </Reference>
  </SignedInfo>
  <SignatureValue>JqvKxYrUF7kM/UoeXrTSPJsW5mpoCnk3GKEEEn5LI1Hymu92lyR1AszzJopkTXV/m9LYpBqgBhXJ
fRzPAq9yUVHdBvId3iDUvIkZh7FQJcsyX3BnyMxh0F++64f2oC++1nIxozDV1JtRf6ntsfiZT1BM
CGbkD8R/Oycl0pNIA4k=</SignatureValue>
  <KeyInfo>
    <X509Data>
      <X509Certificate>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bMltBVZkacvWjjfzKOBChSG6N/o=</DigestValue>
      </Reference>
      <Reference URI="/word/document.xml?ContentType=application/vnd.openxmlformats-officedocument.wordprocessingml.document.main+xml">
        <DigestMethod Algorithm="http://www.w3.org/2000/09/xmldsig#sha1"/>
        <DigestValue>oo62ZNGvz2UaZpCzryWTb7Cxxo4=</DigestValue>
      </Reference>
      <Reference URI="/word/endnotes.xml?ContentType=application/vnd.openxmlformats-officedocument.wordprocessingml.endnotes+xml">
        <DigestMethod Algorithm="http://www.w3.org/2000/09/xmldsig#sha1"/>
        <DigestValue>36mV+6yN+0PL0nV5FWU7Iz0ztO0=</DigestValue>
      </Reference>
      <Reference URI="/word/fontTable.xml?ContentType=application/vnd.openxmlformats-officedocument.wordprocessingml.fontTable+xml">
        <DigestMethod Algorithm="http://www.w3.org/2000/09/xmldsig#sha1"/>
        <DigestValue>eKZLDs3JHfBBACGW1hTvsgzaVz8=</DigestValue>
      </Reference>
      <Reference URI="/word/footer1.xml?ContentType=application/vnd.openxmlformats-officedocument.wordprocessingml.footer+xml">
        <DigestMethod Algorithm="http://www.w3.org/2000/09/xmldsig#sha1"/>
        <DigestValue>8ziUZ/BTW9CasOYDbJsbguXpFZU=</DigestValue>
      </Reference>
      <Reference URI="/word/footnotes.xml?ContentType=application/vnd.openxmlformats-officedocument.wordprocessingml.footnotes+xml">
        <DigestMethod Algorithm="http://www.w3.org/2000/09/xmldsig#sha1"/>
        <DigestValue>9exLD3udBrurifEawDh4+E2IDQ4=</DigestValue>
      </Reference>
      <Reference URI="/word/numbering.xml?ContentType=application/vnd.openxmlformats-officedocument.wordprocessingml.numbering+xml">
        <DigestMethod Algorithm="http://www.w3.org/2000/09/xmldsig#sha1"/>
        <DigestValue>1qy+4w8aOn67IXKVHlZXm1y3E84=</DigestValue>
      </Reference>
      <Reference URI="/word/settings.xml?ContentType=application/vnd.openxmlformats-officedocument.wordprocessingml.settings+xml">
        <DigestMethod Algorithm="http://www.w3.org/2000/09/xmldsig#sha1"/>
        <DigestValue>DfplRrnlg72t+qv+DBpEmPKFixc=</DigestValue>
      </Reference>
      <Reference URI="/word/styles.xml?ContentType=application/vnd.openxmlformats-officedocument.wordprocessingml.styles+xml">
        <DigestMethod Algorithm="http://www.w3.org/2000/09/xmldsig#sha1"/>
        <DigestValue>CNHD3kYjdtozYStVSwUT677W2jk=</DigestValue>
      </Reference>
      <Reference URI="/word/theme/theme1.xml?ContentType=application/vnd.openxmlformats-officedocument.theme+xml">
        <DigestMethod Algorithm="http://www.w3.org/2000/09/xmldsig#sha1"/>
        <DigestValue>QqnnO3x3fd3QifJwKhPwUfEGZ/0=</DigestValue>
      </Reference>
      <Reference URI="/word/webSettings.xml?ContentType=application/vnd.openxmlformats-officedocument.wordprocessingml.webSettings+xml">
        <DigestMethod Algorithm="http://www.w3.org/2000/09/xmldsig#sha1"/>
        <DigestValue>YMmN0SJEtm8fTLc+PdnqE2ISGRM=</DigestValue>
      </Reference>
    </Manifest>
    <SignatureProperties>
      <SignatureProperty Id="idSignatureTime" Target="#idPackageSignature">
        <mdssi:SignatureTime xmlns:mdssi="http://schemas.openxmlformats.org/package/2006/digital-signature">
          <mdssi:Format>YYYY-MM-DDThh:mm:ssTZD</mdssi:Format>
          <mdssi:Value>2018-02-08T16:32:14Z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autografia</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2018-02-08T16:32:14Z</xd:SigningTime>
          <xd:SigningCertificate>
            <xd:Cert>
              <xd:CertDigest>
                <DigestMethod Algorithm="http://www.w3.org/2000/09/xmldsig#sha1"/>
                <DigestValue>rjCdUNbK85VvbT5Ue4JXXzT/VLU=</DigestValue>
              </xd:CertDigest>
              <xd:IssuerSerial>
                <X509IssuerName>CN=InfoCert Servizi di Certificazione 2, SERIALNUMBER=07945211006, OU=Ente Certificatore, O=INFOCERT SPA, C=IT</X509IssuerName>
                <X509SerialNumber>435915</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1319</TotalTime>
  <Pages>2</Pages>
  <Words>708</Words>
  <Characters>4038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simone</dc:creator>
  <cp:keywords/>
  <dc:description/>
  <cp:lastModifiedBy>laura de simone</cp:lastModifiedBy>
  <cp:revision>12</cp:revision>
  <cp:lastPrinted>2018-02-08T16:28:00Z</cp:lastPrinted>
  <dcterms:created xsi:type="dcterms:W3CDTF">2018-02-07T17:41:00Z</dcterms:created>
  <dcterms:modified xsi:type="dcterms:W3CDTF">2018-02-08T16:32:00Z</dcterms:modified>
</cp:coreProperties>
</file>